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C6FD" w14:textId="77777777" w:rsidR="001E7EB0" w:rsidRPr="001E7EB0" w:rsidRDefault="001E7EB0" w:rsidP="001E7EB0">
      <w:pPr>
        <w:shd w:val="clear" w:color="auto" w:fill="FFFFFF"/>
        <w:spacing w:before="100" w:beforeAutospacing="1" w:after="100" w:afterAutospacing="1" w:line="240" w:lineRule="auto"/>
        <w:textAlignment w:val="baseline"/>
        <w:outlineLvl w:val="0"/>
        <w:rPr>
          <w:rFonts w:ascii="Arial" w:eastAsia="Times New Roman" w:hAnsi="Arial" w:cs="Arial"/>
          <w:color w:val="2D3E8C"/>
          <w:kern w:val="36"/>
          <w:sz w:val="48"/>
          <w:szCs w:val="48"/>
          <w:lang w:eastAsia="de-DE"/>
        </w:rPr>
      </w:pPr>
      <w:r w:rsidRPr="001E7EB0">
        <w:rPr>
          <w:rFonts w:ascii="Arial" w:eastAsia="Times New Roman" w:hAnsi="Arial" w:cs="Arial"/>
          <w:color w:val="2D3E8C"/>
          <w:kern w:val="36"/>
          <w:sz w:val="48"/>
          <w:szCs w:val="48"/>
          <w:lang w:eastAsia="de-DE"/>
        </w:rPr>
        <w:t>Hormone – Signal- und Botenstoffe des Körpers</w:t>
      </w:r>
    </w:p>
    <w:p w14:paraId="767B834A" w14:textId="77777777" w:rsidR="001E7EB0" w:rsidRP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Die Körper von Menschen und Tieren sind komplexe und perfekt aufeinander abgestimmte Systeme. Damit dieses System läuft, muss es regelmäßig kontrolliert und gegebenenfalls reguliert werden. Dazu werden Informationen im Wesentlichen über zwei Arten durch den Körper weitergleitet: in Form von elektrischen Signalen und in Form von chemischen Signalen. Elektrische Signale werden über die Nervenbahnen weitergleitet. Chemische Signale werden in Form von Hormonen weitergeleitet. Die Weiterleitung von Hormonen erfolgt dabei über die Blutbahn durch den ganzen Körper.</w:t>
      </w:r>
    </w:p>
    <w:p w14:paraId="7B68B49A" w14:textId="77777777" w:rsidR="001E7EB0" w:rsidRP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Oftmals befindet sich der Ort der Hormonproduktion weit entfernt vom Ort, an dem das Hormon benötigt wird. So bildet beispielsweise die Hypophyse (Hirnanhangsdrüse) im Gehirn Hormone, die im gesamten Körper benötigt werden. Ein bekanntes Hormon ist beispielsweise Adrenalin, das für eine erhöhte Aufmerksamkeit in Stresssituationen ausgeschüttet wird.</w:t>
      </w:r>
    </w:p>
    <w:p w14:paraId="7AE576CC" w14:textId="77777777" w:rsid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In der Regel werden bei Männern und Frauen die gleichen Hormone produziert und ausgeschüttet. Eine Ausnahme sind allerdings die sogenannten Keimdrüsen- oder auch Sexualhormone. Die Sexualhormone sind für die Ausprägung unserer Geschlechtsorgane und zur Aufrechterhaltung der Sexualfunktionen notwendig.</w:t>
      </w:r>
    </w:p>
    <w:p w14:paraId="500B5DE1"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t>Was sind Hormone?</w:t>
      </w:r>
    </w:p>
    <w:p w14:paraId="5F1D5E9F"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Hormone sind Signal- oder Botenstoffe, die in spezialisierten Zellen gebildet und dann ins </w:t>
      </w:r>
      <w:hyperlink r:id="rId4" w:history="1">
        <w:r w:rsidRPr="00085180">
          <w:rPr>
            <w:rStyle w:val="Hyperlink"/>
            <w:rFonts w:ascii="Arial" w:eastAsia="Times New Roman" w:hAnsi="Arial" w:cs="Arial"/>
            <w:sz w:val="24"/>
            <w:szCs w:val="24"/>
            <w:lang w:eastAsia="de-DE"/>
          </w:rPr>
          <w:t>Blut</w:t>
        </w:r>
      </w:hyperlink>
      <w:r w:rsidRPr="00085180">
        <w:rPr>
          <w:rFonts w:ascii="Arial" w:eastAsia="Times New Roman" w:hAnsi="Arial" w:cs="Arial"/>
          <w:color w:val="444444"/>
          <w:sz w:val="24"/>
          <w:szCs w:val="24"/>
          <w:lang w:eastAsia="de-DE"/>
        </w:rPr>
        <w:t xml:space="preserve"> ab-gegeben werden. Sie entfalten ihre Wirkung entweder an den Zellen, in denen sie gebildet </w:t>
      </w:r>
      <w:proofErr w:type="spellStart"/>
      <w:r w:rsidRPr="00085180">
        <w:rPr>
          <w:rFonts w:ascii="Arial" w:eastAsia="Times New Roman" w:hAnsi="Arial" w:cs="Arial"/>
          <w:color w:val="444444"/>
          <w:sz w:val="24"/>
          <w:szCs w:val="24"/>
          <w:lang w:eastAsia="de-DE"/>
        </w:rPr>
        <w:t>wur</w:t>
      </w:r>
      <w:proofErr w:type="spellEnd"/>
      <w:r w:rsidRPr="00085180">
        <w:rPr>
          <w:rFonts w:ascii="Arial" w:eastAsia="Times New Roman" w:hAnsi="Arial" w:cs="Arial"/>
          <w:color w:val="444444"/>
          <w:sz w:val="24"/>
          <w:szCs w:val="24"/>
          <w:lang w:eastAsia="de-DE"/>
        </w:rPr>
        <w:t>-den, oder an mehr oder weniger weit entfernten Zellen.</w:t>
      </w:r>
    </w:p>
    <w:p w14:paraId="04C3EA75"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t>Wo werden Hormone gebildet?</w:t>
      </w:r>
    </w:p>
    <w:p w14:paraId="6B06452C"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Gebildet werden die Hormone von spezialisierten Zellen in verschiedenen Organen. Dazu zählen zum Beispiel die Hirnanhangdrüse (</w:t>
      </w:r>
      <w:hyperlink r:id="rId5" w:history="1">
        <w:r w:rsidRPr="00085180">
          <w:rPr>
            <w:rStyle w:val="Hyperlink"/>
            <w:rFonts w:ascii="Arial" w:eastAsia="Times New Roman" w:hAnsi="Arial" w:cs="Arial"/>
            <w:sz w:val="24"/>
            <w:szCs w:val="24"/>
            <w:lang w:eastAsia="de-DE"/>
          </w:rPr>
          <w:t>Hypophyse</w:t>
        </w:r>
      </w:hyperlink>
      <w:r w:rsidRPr="00085180">
        <w:rPr>
          <w:rFonts w:ascii="Arial" w:eastAsia="Times New Roman" w:hAnsi="Arial" w:cs="Arial"/>
          <w:color w:val="444444"/>
          <w:sz w:val="24"/>
          <w:szCs w:val="24"/>
          <w:lang w:eastAsia="de-DE"/>
        </w:rPr>
        <w:t>), die </w:t>
      </w:r>
      <w:hyperlink r:id="rId6" w:history="1">
        <w:r w:rsidRPr="00085180">
          <w:rPr>
            <w:rStyle w:val="Hyperlink"/>
            <w:rFonts w:ascii="Arial" w:eastAsia="Times New Roman" w:hAnsi="Arial" w:cs="Arial"/>
            <w:sz w:val="24"/>
            <w:szCs w:val="24"/>
            <w:lang w:eastAsia="de-DE"/>
          </w:rPr>
          <w:t>Schilddrüse</w:t>
        </w:r>
      </w:hyperlink>
      <w:r w:rsidRPr="00085180">
        <w:rPr>
          <w:rFonts w:ascii="Arial" w:eastAsia="Times New Roman" w:hAnsi="Arial" w:cs="Arial"/>
          <w:color w:val="444444"/>
          <w:sz w:val="24"/>
          <w:szCs w:val="24"/>
          <w:lang w:eastAsia="de-DE"/>
        </w:rPr>
        <w:t> und die Nebenschilddrüsen, die Nebennieren (Mark und Rinde), die sogenannten </w:t>
      </w:r>
      <w:hyperlink r:id="rId7" w:history="1">
        <w:r w:rsidRPr="00085180">
          <w:rPr>
            <w:rStyle w:val="Hyperlink"/>
            <w:rFonts w:ascii="Arial" w:eastAsia="Times New Roman" w:hAnsi="Arial" w:cs="Arial"/>
            <w:sz w:val="24"/>
            <w:szCs w:val="24"/>
            <w:lang w:eastAsia="de-DE"/>
          </w:rPr>
          <w:t>Langerhans-Inseln</w:t>
        </w:r>
      </w:hyperlink>
      <w:r w:rsidRPr="00085180">
        <w:rPr>
          <w:rFonts w:ascii="Arial" w:eastAsia="Times New Roman" w:hAnsi="Arial" w:cs="Arial"/>
          <w:color w:val="444444"/>
          <w:sz w:val="24"/>
          <w:szCs w:val="24"/>
          <w:lang w:eastAsia="de-DE"/>
        </w:rPr>
        <w:t> in der </w:t>
      </w:r>
      <w:hyperlink r:id="rId8" w:history="1">
        <w:r w:rsidRPr="00085180">
          <w:rPr>
            <w:rStyle w:val="Hyperlink"/>
            <w:rFonts w:ascii="Arial" w:eastAsia="Times New Roman" w:hAnsi="Arial" w:cs="Arial"/>
            <w:sz w:val="24"/>
            <w:szCs w:val="24"/>
            <w:lang w:eastAsia="de-DE"/>
          </w:rPr>
          <w:t>Bauchspeicheldrüse</w:t>
        </w:r>
      </w:hyperlink>
      <w:r w:rsidRPr="00085180">
        <w:rPr>
          <w:rFonts w:ascii="Arial" w:eastAsia="Times New Roman" w:hAnsi="Arial" w:cs="Arial"/>
          <w:color w:val="444444"/>
          <w:sz w:val="24"/>
          <w:szCs w:val="24"/>
          <w:lang w:eastAsia="de-DE"/>
        </w:rPr>
        <w:t> und die Keimdrüsen (Eierstöcke, </w:t>
      </w:r>
      <w:hyperlink r:id="rId9" w:history="1">
        <w:r w:rsidRPr="00085180">
          <w:rPr>
            <w:rStyle w:val="Hyperlink"/>
            <w:rFonts w:ascii="Arial" w:eastAsia="Times New Roman" w:hAnsi="Arial" w:cs="Arial"/>
            <w:sz w:val="24"/>
            <w:szCs w:val="24"/>
            <w:lang w:eastAsia="de-DE"/>
          </w:rPr>
          <w:t>Hoden</w:t>
        </w:r>
      </w:hyperlink>
      <w:r w:rsidRPr="00085180">
        <w:rPr>
          <w:rFonts w:ascii="Arial" w:eastAsia="Times New Roman" w:hAnsi="Arial" w:cs="Arial"/>
          <w:color w:val="444444"/>
          <w:sz w:val="24"/>
          <w:szCs w:val="24"/>
          <w:lang w:eastAsia="de-DE"/>
        </w:rPr>
        <w:t>).</w:t>
      </w:r>
    </w:p>
    <w:p w14:paraId="6A988B70"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Mehr über diese hormonproduzierenden Gewebe und Organe erfahren Sie im Beitrag „</w:t>
      </w:r>
      <w:hyperlink r:id="rId10" w:history="1">
        <w:r w:rsidRPr="00085180">
          <w:rPr>
            <w:rStyle w:val="Hyperlink"/>
            <w:rFonts w:ascii="Arial" w:eastAsia="Times New Roman" w:hAnsi="Arial" w:cs="Arial"/>
            <w:sz w:val="24"/>
            <w:szCs w:val="24"/>
            <w:lang w:eastAsia="de-DE"/>
          </w:rPr>
          <w:t>Hormondrüsen</w:t>
        </w:r>
      </w:hyperlink>
      <w:r w:rsidRPr="00085180">
        <w:rPr>
          <w:rFonts w:ascii="Arial" w:eastAsia="Times New Roman" w:hAnsi="Arial" w:cs="Arial"/>
          <w:color w:val="444444"/>
          <w:sz w:val="24"/>
          <w:szCs w:val="24"/>
          <w:lang w:eastAsia="de-DE"/>
        </w:rPr>
        <w:t>“.</w:t>
      </w:r>
    </w:p>
    <w:p w14:paraId="792A3B99"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Die </w:t>
      </w:r>
      <w:hyperlink r:id="rId11" w:history="1">
        <w:r w:rsidRPr="00085180">
          <w:rPr>
            <w:rStyle w:val="Hyperlink"/>
            <w:rFonts w:ascii="Arial" w:eastAsia="Times New Roman" w:hAnsi="Arial" w:cs="Arial"/>
            <w:sz w:val="24"/>
            <w:szCs w:val="24"/>
            <w:lang w:eastAsia="de-DE"/>
          </w:rPr>
          <w:t>Hormondrüsen</w:t>
        </w:r>
      </w:hyperlink>
      <w:r w:rsidRPr="00085180">
        <w:rPr>
          <w:rFonts w:ascii="Arial" w:eastAsia="Times New Roman" w:hAnsi="Arial" w:cs="Arial"/>
          <w:color w:val="444444"/>
          <w:sz w:val="24"/>
          <w:szCs w:val="24"/>
          <w:lang w:eastAsia="de-DE"/>
        </w:rPr>
        <w:t> bilden ein komplexes Netzwerk, das die Entwicklung und Funktion des Körpers in vielfältigster Weise reguliert und steuert. In diesem Netzwerk – dem </w:t>
      </w:r>
      <w:hyperlink r:id="rId12" w:history="1">
        <w:r w:rsidRPr="00085180">
          <w:rPr>
            <w:rStyle w:val="Hyperlink"/>
            <w:rFonts w:ascii="Arial" w:eastAsia="Times New Roman" w:hAnsi="Arial" w:cs="Arial"/>
            <w:sz w:val="24"/>
            <w:szCs w:val="24"/>
            <w:lang w:eastAsia="de-DE"/>
          </w:rPr>
          <w:t>Hormonsystem</w:t>
        </w:r>
      </w:hyperlink>
      <w:r w:rsidRPr="00085180">
        <w:rPr>
          <w:rFonts w:ascii="Arial" w:eastAsia="Times New Roman" w:hAnsi="Arial" w:cs="Arial"/>
          <w:color w:val="444444"/>
          <w:sz w:val="24"/>
          <w:szCs w:val="24"/>
          <w:lang w:eastAsia="de-DE"/>
        </w:rPr>
        <w:t> – können sich verschiedene Hormondrüsen je nach Bedarf gegenseitig stimulieren oder bremsen.</w:t>
      </w:r>
    </w:p>
    <w:p w14:paraId="643D5CB5" w14:textId="77777777" w:rsid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14:paraId="211A7CF9"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14:paraId="1039218B"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lastRenderedPageBreak/>
        <w:t>Welche Aufgaben haben Hormone?</w:t>
      </w:r>
    </w:p>
    <w:p w14:paraId="7AC8971A"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 xml:space="preserve">Hormone haben Wirkungen vielfältiger Art. An ihrem Zielort lösen sie sogenannte </w:t>
      </w:r>
      <w:proofErr w:type="spellStart"/>
      <w:r w:rsidRPr="00085180">
        <w:rPr>
          <w:rFonts w:ascii="Arial" w:eastAsia="Times New Roman" w:hAnsi="Arial" w:cs="Arial"/>
          <w:color w:val="444444"/>
          <w:sz w:val="24"/>
          <w:szCs w:val="24"/>
          <w:lang w:eastAsia="de-DE"/>
        </w:rPr>
        <w:t>Primärreaktio-nen</w:t>
      </w:r>
      <w:proofErr w:type="spellEnd"/>
      <w:r w:rsidRPr="00085180">
        <w:rPr>
          <w:rFonts w:ascii="Arial" w:eastAsia="Times New Roman" w:hAnsi="Arial" w:cs="Arial"/>
          <w:color w:val="444444"/>
          <w:sz w:val="24"/>
          <w:szCs w:val="24"/>
          <w:lang w:eastAsia="de-DE"/>
        </w:rPr>
        <w:t xml:space="preserve"> aus, wie zum Beispiel die Bildung bestimmter </w:t>
      </w:r>
      <w:hyperlink r:id="rId13" w:history="1">
        <w:r w:rsidRPr="00085180">
          <w:rPr>
            <w:rStyle w:val="Hyperlink"/>
            <w:rFonts w:ascii="Arial" w:eastAsia="Times New Roman" w:hAnsi="Arial" w:cs="Arial"/>
            <w:sz w:val="24"/>
            <w:szCs w:val="24"/>
            <w:lang w:eastAsia="de-DE"/>
          </w:rPr>
          <w:t>Enzyme</w:t>
        </w:r>
      </w:hyperlink>
      <w:r w:rsidRPr="00085180">
        <w:rPr>
          <w:rFonts w:ascii="Arial" w:eastAsia="Times New Roman" w:hAnsi="Arial" w:cs="Arial"/>
          <w:color w:val="444444"/>
          <w:sz w:val="24"/>
          <w:szCs w:val="24"/>
          <w:lang w:eastAsia="de-DE"/>
        </w:rPr>
        <w:t>. Diese Primärreaktionen setzen ihrer-seits Sekundärreaktionen in Gang, über die sich letztlich die eigentliche Hormon-Wirkung entfaltet.</w:t>
      </w:r>
    </w:p>
    <w:p w14:paraId="7C59B6D4" w14:textId="77777777"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Auf diese Weise bewirkt beispielsweise das Hormon </w:t>
      </w:r>
      <w:hyperlink r:id="rId14" w:history="1">
        <w:r w:rsidRPr="00085180">
          <w:rPr>
            <w:rStyle w:val="Hyperlink"/>
            <w:rFonts w:ascii="Arial" w:eastAsia="Times New Roman" w:hAnsi="Arial" w:cs="Arial"/>
            <w:sz w:val="24"/>
            <w:szCs w:val="24"/>
            <w:lang w:eastAsia="de-DE"/>
          </w:rPr>
          <w:t>Insulin</w:t>
        </w:r>
      </w:hyperlink>
      <w:r w:rsidRPr="00085180">
        <w:rPr>
          <w:rFonts w:ascii="Arial" w:eastAsia="Times New Roman" w:hAnsi="Arial" w:cs="Arial"/>
          <w:color w:val="444444"/>
          <w:sz w:val="24"/>
          <w:szCs w:val="24"/>
          <w:lang w:eastAsia="de-DE"/>
        </w:rPr>
        <w:t> eine Senkung des Blutzuckerspiegels; das </w:t>
      </w:r>
      <w:hyperlink r:id="rId15" w:history="1">
        <w:r w:rsidRPr="00085180">
          <w:rPr>
            <w:rStyle w:val="Hyperlink"/>
            <w:rFonts w:ascii="Arial" w:eastAsia="Times New Roman" w:hAnsi="Arial" w:cs="Arial"/>
            <w:sz w:val="24"/>
            <w:szCs w:val="24"/>
            <w:lang w:eastAsia="de-DE"/>
          </w:rPr>
          <w:t>Adrenalin</w:t>
        </w:r>
      </w:hyperlink>
      <w:r w:rsidRPr="00085180">
        <w:rPr>
          <w:rFonts w:ascii="Arial" w:eastAsia="Times New Roman" w:hAnsi="Arial" w:cs="Arial"/>
          <w:color w:val="444444"/>
          <w:sz w:val="24"/>
          <w:szCs w:val="24"/>
          <w:lang w:eastAsia="de-DE"/>
        </w:rPr>
        <w:t> steigert den Blutdruck, und das männliche Geschlechtshormon </w:t>
      </w:r>
      <w:hyperlink r:id="rId16" w:history="1">
        <w:r w:rsidRPr="00085180">
          <w:rPr>
            <w:rStyle w:val="Hyperlink"/>
            <w:rFonts w:ascii="Arial" w:eastAsia="Times New Roman" w:hAnsi="Arial" w:cs="Arial"/>
            <w:sz w:val="24"/>
            <w:szCs w:val="24"/>
            <w:lang w:eastAsia="de-DE"/>
          </w:rPr>
          <w:t>Testosteron</w:t>
        </w:r>
      </w:hyperlink>
      <w:r w:rsidRPr="00085180">
        <w:rPr>
          <w:rFonts w:ascii="Arial" w:eastAsia="Times New Roman" w:hAnsi="Arial" w:cs="Arial"/>
          <w:color w:val="444444"/>
          <w:sz w:val="24"/>
          <w:szCs w:val="24"/>
          <w:lang w:eastAsia="de-DE"/>
        </w:rPr>
        <w:t> sorgt unter anderem für die Spermienreifung. Bei all diesen Reaktionen werden die Hormone selbst nicht verbraucht.</w:t>
      </w:r>
    </w:p>
    <w:p w14:paraId="43D594C6" w14:textId="77777777" w:rsidR="00DA39E3" w:rsidRDefault="00DA39E3"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Pr>
          <w:rFonts w:ascii="Arial" w:eastAsia="Times New Roman" w:hAnsi="Arial" w:cs="Arial"/>
          <w:color w:val="444444"/>
          <w:sz w:val="24"/>
          <w:szCs w:val="24"/>
          <w:lang w:eastAsia="de-DE"/>
        </w:rPr>
        <w:t>Bitte den Link öff</w:t>
      </w:r>
      <w:r w:rsidR="009A7E0C">
        <w:rPr>
          <w:rFonts w:ascii="Arial" w:eastAsia="Times New Roman" w:hAnsi="Arial" w:cs="Arial"/>
          <w:color w:val="444444"/>
          <w:sz w:val="24"/>
          <w:szCs w:val="24"/>
          <w:lang w:eastAsia="de-DE"/>
        </w:rPr>
        <w:t>n</w:t>
      </w:r>
      <w:r>
        <w:rPr>
          <w:rFonts w:ascii="Arial" w:eastAsia="Times New Roman" w:hAnsi="Arial" w:cs="Arial"/>
          <w:color w:val="444444"/>
          <w:sz w:val="24"/>
          <w:szCs w:val="24"/>
          <w:lang w:eastAsia="de-DE"/>
        </w:rPr>
        <w:t xml:space="preserve">en und </w:t>
      </w:r>
      <w:r w:rsidR="009A7E0C">
        <w:rPr>
          <w:rFonts w:ascii="Arial" w:eastAsia="Times New Roman" w:hAnsi="Arial" w:cs="Arial"/>
          <w:color w:val="444444"/>
          <w:sz w:val="24"/>
          <w:szCs w:val="24"/>
          <w:lang w:eastAsia="de-DE"/>
        </w:rPr>
        <w:t>dort weiter arbeiten….</w:t>
      </w:r>
    </w:p>
    <w:p w14:paraId="73B94A24" w14:textId="413F7144" w:rsidR="009A7E0C" w:rsidRDefault="00D015DA" w:rsidP="001E7EB0">
      <w:pPr>
        <w:shd w:val="clear" w:color="auto" w:fill="FFFFFF"/>
        <w:spacing w:before="100" w:beforeAutospacing="1" w:after="100" w:afterAutospacing="1" w:line="240" w:lineRule="auto"/>
        <w:textAlignment w:val="baseline"/>
        <w:rPr>
          <w:rStyle w:val="Hyperlink"/>
          <w:rFonts w:ascii="Arial" w:eastAsia="Times New Roman" w:hAnsi="Arial" w:cs="Arial"/>
          <w:sz w:val="24"/>
          <w:szCs w:val="24"/>
          <w:lang w:eastAsia="de-DE"/>
        </w:rPr>
      </w:pPr>
      <w:hyperlink r:id="rId17" w:history="1">
        <w:r w:rsidR="009A7E0C" w:rsidRPr="00213591">
          <w:rPr>
            <w:rStyle w:val="Hyperlink"/>
            <w:rFonts w:ascii="Arial" w:eastAsia="Times New Roman" w:hAnsi="Arial" w:cs="Arial"/>
            <w:sz w:val="24"/>
            <w:szCs w:val="24"/>
            <w:lang w:eastAsia="de-DE"/>
          </w:rPr>
          <w:t>https://pubertaet.lehrer-online.de/online-uebungen/online-quiz-und-interaktive-uebungen/hormone-signal-und-botenstoffe-des-koerpers/</w:t>
        </w:r>
      </w:hyperlink>
    </w:p>
    <w:p w14:paraId="5D0CCA51" w14:textId="77777777" w:rsid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14:paraId="54E5F0BE" w14:textId="4226941C"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C0119B">
        <w:rPr>
          <w:rFonts w:ascii="Arial" w:eastAsia="Times New Roman" w:hAnsi="Arial" w:cs="Arial"/>
          <w:b/>
          <w:bCs/>
          <w:color w:val="FF0000"/>
          <w:sz w:val="24"/>
          <w:szCs w:val="24"/>
          <w:u w:val="single"/>
          <w:lang w:eastAsia="de-DE"/>
        </w:rPr>
        <w:t>Nachfolgend haben wir Ihnen eine Übersicht über die wichtigsten Funktionen im Körper, an denen Hormone beteiligt sind, zusammengestellt</w:t>
      </w:r>
      <w:r w:rsidRPr="00AE4AD2">
        <w:rPr>
          <w:rFonts w:ascii="Arial" w:eastAsia="Times New Roman" w:hAnsi="Arial" w:cs="Arial"/>
          <w:color w:val="444444"/>
          <w:sz w:val="24"/>
          <w:szCs w:val="24"/>
          <w:lang w:eastAsia="de-DE"/>
        </w:rPr>
        <w:t>:</w:t>
      </w:r>
    </w:p>
    <w:p w14:paraId="154CF303"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u w:val="single"/>
          <w:lang w:eastAsia="de-DE"/>
        </w:rPr>
      </w:pPr>
      <w:r w:rsidRPr="00AE4AD2">
        <w:rPr>
          <w:rFonts w:ascii="Arial" w:eastAsia="Times New Roman" w:hAnsi="Arial" w:cs="Arial"/>
          <w:b/>
          <w:bCs/>
          <w:color w:val="444444"/>
          <w:sz w:val="24"/>
          <w:szCs w:val="24"/>
          <w:u w:val="single"/>
          <w:lang w:eastAsia="de-DE"/>
        </w:rPr>
        <w:t>Sexualität und Reproduktion</w:t>
      </w:r>
    </w:p>
    <w:p w14:paraId="4413810C"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AE4AD2">
        <w:rPr>
          <w:rFonts w:ascii="Arial" w:eastAsia="Times New Roman" w:hAnsi="Arial" w:cs="Arial"/>
          <w:color w:val="444444"/>
          <w:sz w:val="24"/>
          <w:szCs w:val="24"/>
          <w:lang w:eastAsia="de-DE"/>
        </w:rPr>
        <w:t>Hormone steuern unsere Libido, die Bildung der Eizellen und Samenzellen, die Befruchtung, die Versorgung des Kindes im Mutterleib, die Regulierung des Geburtsvorgangs und die Entwicklung der Milchdrüsen.</w:t>
      </w:r>
    </w:p>
    <w:p w14:paraId="34AC2C4B"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u w:val="single"/>
          <w:lang w:eastAsia="de-DE"/>
        </w:rPr>
      </w:pPr>
      <w:r w:rsidRPr="00AE4AD2">
        <w:rPr>
          <w:rFonts w:ascii="Arial" w:eastAsia="Times New Roman" w:hAnsi="Arial" w:cs="Arial"/>
          <w:b/>
          <w:bCs/>
          <w:color w:val="444444"/>
          <w:sz w:val="24"/>
          <w:szCs w:val="24"/>
          <w:u w:val="single"/>
          <w:lang w:eastAsia="de-DE"/>
        </w:rPr>
        <w:t>Wachstum und Entwicklung</w:t>
      </w:r>
    </w:p>
    <w:p w14:paraId="4C2C1C27"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AE4AD2">
        <w:rPr>
          <w:rFonts w:ascii="Arial" w:eastAsia="Times New Roman" w:hAnsi="Arial" w:cs="Arial"/>
          <w:color w:val="444444"/>
          <w:sz w:val="24"/>
          <w:szCs w:val="24"/>
          <w:lang w:eastAsia="de-DE"/>
        </w:rPr>
        <w:t>Hormone regulieren den Stoffwechsel von Muskeln, Knochen und Geweben.</w:t>
      </w:r>
    </w:p>
    <w:p w14:paraId="7938D3EA"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u w:val="single"/>
          <w:lang w:eastAsia="de-DE"/>
        </w:rPr>
      </w:pPr>
      <w:r w:rsidRPr="00AE4AD2">
        <w:rPr>
          <w:rFonts w:ascii="Arial" w:eastAsia="Times New Roman" w:hAnsi="Arial" w:cs="Arial"/>
          <w:b/>
          <w:bCs/>
          <w:color w:val="444444"/>
          <w:sz w:val="24"/>
          <w:szCs w:val="24"/>
          <w:u w:val="single"/>
          <w:lang w:eastAsia="de-DE"/>
        </w:rPr>
        <w:t>Allgemeine Gesundheit</w:t>
      </w:r>
    </w:p>
    <w:p w14:paraId="1426B391"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AE4AD2">
        <w:rPr>
          <w:rFonts w:ascii="Arial" w:eastAsia="Times New Roman" w:hAnsi="Arial" w:cs="Arial"/>
          <w:color w:val="444444"/>
          <w:sz w:val="24"/>
          <w:szCs w:val="24"/>
          <w:lang w:eastAsia="de-DE"/>
        </w:rPr>
        <w:t>Hormone mobilisieren die Abwehrkräfte bei Belastungen wie emotionalem Stress, Durst, Hunger, Hitze, Kälte, Verletzungen und Infektionen.</w:t>
      </w:r>
    </w:p>
    <w:p w14:paraId="077A47ED" w14:textId="77777777" w:rsidR="00AE4AD2" w:rsidRP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u w:val="single"/>
          <w:lang w:eastAsia="de-DE"/>
        </w:rPr>
      </w:pPr>
      <w:r w:rsidRPr="00AE4AD2">
        <w:rPr>
          <w:rFonts w:ascii="Arial" w:eastAsia="Times New Roman" w:hAnsi="Arial" w:cs="Arial"/>
          <w:b/>
          <w:bCs/>
          <w:color w:val="444444"/>
          <w:sz w:val="24"/>
          <w:szCs w:val="24"/>
          <w:u w:val="single"/>
          <w:lang w:eastAsia="de-DE"/>
        </w:rPr>
        <w:t>Zellstoffwechsel und Energiegleichgewicht</w:t>
      </w:r>
    </w:p>
    <w:p w14:paraId="39E9275A" w14:textId="792601F9" w:rsidR="00AE4AD2" w:rsidRDefault="00AE4AD2" w:rsidP="00AE4AD2">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AE4AD2">
        <w:rPr>
          <w:rFonts w:ascii="Arial" w:eastAsia="Times New Roman" w:hAnsi="Arial" w:cs="Arial"/>
          <w:color w:val="444444"/>
          <w:sz w:val="24"/>
          <w:szCs w:val="24"/>
          <w:lang w:eastAsia="de-DE"/>
        </w:rPr>
        <w:t>Hormone sorgen für die optimale Verwertung von Nährstoffen und deren Gleichgewicht. Sie halten alle Körper- und Zellfunktionen aufrecht. Darüber hinaus regulieren sie den Wasserhaushalt.</w:t>
      </w:r>
    </w:p>
    <w:sectPr w:rsidR="00AE4A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B0"/>
    <w:rsid w:val="00085180"/>
    <w:rsid w:val="001E7EB0"/>
    <w:rsid w:val="00885EE4"/>
    <w:rsid w:val="009A7E0C"/>
    <w:rsid w:val="00AE4AD2"/>
    <w:rsid w:val="00C0119B"/>
    <w:rsid w:val="00D015DA"/>
    <w:rsid w:val="00DA39E3"/>
    <w:rsid w:val="00FD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D48A"/>
  <w15:chartTrackingRefBased/>
  <w15:docId w15:val="{44701622-EBA3-4205-8D64-76CEB84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5180"/>
    <w:rPr>
      <w:color w:val="0563C1" w:themeColor="hyperlink"/>
      <w:u w:val="single"/>
    </w:rPr>
  </w:style>
  <w:style w:type="character" w:styleId="NichtaufgelsteErwhnung">
    <w:name w:val="Unresolved Mention"/>
    <w:basedOn w:val="Absatz-Standardschriftart"/>
    <w:uiPriority w:val="99"/>
    <w:semiHidden/>
    <w:unhideWhenUsed/>
    <w:rsid w:val="0008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728248">
      <w:bodyDiv w:val="1"/>
      <w:marLeft w:val="0"/>
      <w:marRight w:val="0"/>
      <w:marTop w:val="0"/>
      <w:marBottom w:val="0"/>
      <w:divBdr>
        <w:top w:val="none" w:sz="0" w:space="0" w:color="auto"/>
        <w:left w:val="none" w:sz="0" w:space="0" w:color="auto"/>
        <w:bottom w:val="none" w:sz="0" w:space="0" w:color="auto"/>
        <w:right w:val="none" w:sz="0" w:space="0" w:color="auto"/>
      </w:divBdr>
      <w:divsChild>
        <w:div w:id="1126779353">
          <w:marLeft w:val="0"/>
          <w:marRight w:val="0"/>
          <w:marTop w:val="0"/>
          <w:marBottom w:val="300"/>
          <w:divBdr>
            <w:top w:val="none" w:sz="0" w:space="0" w:color="auto"/>
            <w:left w:val="none" w:sz="0" w:space="0" w:color="auto"/>
            <w:bottom w:val="none" w:sz="0" w:space="0" w:color="auto"/>
            <w:right w:val="none" w:sz="0" w:space="0" w:color="auto"/>
          </w:divBdr>
          <w:divsChild>
            <w:div w:id="850291324">
              <w:marLeft w:val="0"/>
              <w:marRight w:val="0"/>
              <w:marTop w:val="0"/>
              <w:marBottom w:val="0"/>
              <w:divBdr>
                <w:top w:val="none" w:sz="0" w:space="0" w:color="auto"/>
                <w:left w:val="none" w:sz="0" w:space="0" w:color="auto"/>
                <w:bottom w:val="none" w:sz="0" w:space="0" w:color="auto"/>
                <w:right w:val="none" w:sz="0" w:space="0" w:color="auto"/>
              </w:divBdr>
            </w:div>
          </w:divsChild>
        </w:div>
        <w:div w:id="1535996205">
          <w:marLeft w:val="0"/>
          <w:marRight w:val="0"/>
          <w:marTop w:val="0"/>
          <w:marBottom w:val="0"/>
          <w:divBdr>
            <w:top w:val="none" w:sz="0" w:space="0" w:color="auto"/>
            <w:left w:val="none" w:sz="0" w:space="0" w:color="auto"/>
            <w:bottom w:val="none" w:sz="0" w:space="0" w:color="auto"/>
            <w:right w:val="none" w:sz="0" w:space="0" w:color="auto"/>
          </w:divBdr>
          <w:divsChild>
            <w:div w:id="1837719881">
              <w:marLeft w:val="0"/>
              <w:marRight w:val="0"/>
              <w:marTop w:val="0"/>
              <w:marBottom w:val="0"/>
              <w:divBdr>
                <w:top w:val="none" w:sz="0" w:space="0" w:color="auto"/>
                <w:left w:val="none" w:sz="0" w:space="0" w:color="auto"/>
                <w:bottom w:val="none" w:sz="0" w:space="0" w:color="auto"/>
                <w:right w:val="none" w:sz="0" w:space="0" w:color="auto"/>
              </w:divBdr>
              <w:divsChild>
                <w:div w:id="1160578415">
                  <w:marLeft w:val="0"/>
                  <w:marRight w:val="0"/>
                  <w:marTop w:val="0"/>
                  <w:marBottom w:val="30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4019">
      <w:bodyDiv w:val="1"/>
      <w:marLeft w:val="0"/>
      <w:marRight w:val="0"/>
      <w:marTop w:val="0"/>
      <w:marBottom w:val="0"/>
      <w:divBdr>
        <w:top w:val="none" w:sz="0" w:space="0" w:color="auto"/>
        <w:left w:val="none" w:sz="0" w:space="0" w:color="auto"/>
        <w:bottom w:val="none" w:sz="0" w:space="0" w:color="auto"/>
        <w:right w:val="none" w:sz="0" w:space="0" w:color="auto"/>
      </w:divBdr>
      <w:divsChild>
        <w:div w:id="948121543">
          <w:marLeft w:val="0"/>
          <w:marRight w:val="0"/>
          <w:marTop w:val="0"/>
          <w:marBottom w:val="0"/>
          <w:divBdr>
            <w:top w:val="none" w:sz="0" w:space="0" w:color="auto"/>
            <w:left w:val="none" w:sz="0" w:space="0" w:color="auto"/>
            <w:bottom w:val="none" w:sz="0" w:space="0" w:color="auto"/>
            <w:right w:val="none" w:sz="0" w:space="0" w:color="auto"/>
          </w:divBdr>
          <w:divsChild>
            <w:div w:id="105388902">
              <w:marLeft w:val="0"/>
              <w:marRight w:val="4800"/>
              <w:marTop w:val="0"/>
              <w:marBottom w:val="0"/>
              <w:divBdr>
                <w:top w:val="none" w:sz="0" w:space="0" w:color="auto"/>
                <w:left w:val="none" w:sz="0" w:space="0" w:color="auto"/>
                <w:bottom w:val="none" w:sz="0" w:space="0" w:color="auto"/>
                <w:right w:val="none" w:sz="0" w:space="0" w:color="auto"/>
              </w:divBdr>
              <w:divsChild>
                <w:div w:id="966738278">
                  <w:marLeft w:val="0"/>
                  <w:marRight w:val="0"/>
                  <w:marTop w:val="0"/>
                  <w:marBottom w:val="0"/>
                  <w:divBdr>
                    <w:top w:val="none" w:sz="0" w:space="0" w:color="auto"/>
                    <w:left w:val="none" w:sz="0" w:space="0" w:color="auto"/>
                    <w:bottom w:val="none" w:sz="0" w:space="0" w:color="auto"/>
                    <w:right w:val="none" w:sz="0" w:space="0" w:color="auto"/>
                  </w:divBdr>
                  <w:divsChild>
                    <w:div w:id="441074304">
                      <w:marLeft w:val="0"/>
                      <w:marRight w:val="0"/>
                      <w:marTop w:val="0"/>
                      <w:marBottom w:val="240"/>
                      <w:divBdr>
                        <w:top w:val="none" w:sz="0" w:space="0" w:color="auto"/>
                        <w:left w:val="none" w:sz="0" w:space="0" w:color="auto"/>
                        <w:bottom w:val="none" w:sz="0" w:space="0" w:color="auto"/>
                        <w:right w:val="none" w:sz="0" w:space="0" w:color="auto"/>
                      </w:divBdr>
                      <w:divsChild>
                        <w:div w:id="1126776183">
                          <w:marLeft w:val="390"/>
                          <w:marRight w:val="390"/>
                          <w:marTop w:val="0"/>
                          <w:marBottom w:val="0"/>
                          <w:divBdr>
                            <w:top w:val="none" w:sz="0" w:space="0" w:color="auto"/>
                            <w:left w:val="none" w:sz="0" w:space="0" w:color="auto"/>
                            <w:bottom w:val="none" w:sz="0" w:space="0" w:color="auto"/>
                            <w:right w:val="none" w:sz="0" w:space="0" w:color="auto"/>
                          </w:divBdr>
                          <w:divsChild>
                            <w:div w:id="1752697538">
                              <w:marLeft w:val="0"/>
                              <w:marRight w:val="0"/>
                              <w:marTop w:val="0"/>
                              <w:marBottom w:val="0"/>
                              <w:divBdr>
                                <w:top w:val="none" w:sz="0" w:space="0" w:color="auto"/>
                                <w:left w:val="none" w:sz="0" w:space="0" w:color="auto"/>
                                <w:bottom w:val="none" w:sz="0" w:space="0" w:color="auto"/>
                                <w:right w:val="none" w:sz="0" w:space="0" w:color="auto"/>
                              </w:divBdr>
                            </w:div>
                          </w:divsChild>
                        </w:div>
                        <w:div w:id="2093236446">
                          <w:marLeft w:val="0"/>
                          <w:marRight w:val="0"/>
                          <w:marTop w:val="0"/>
                          <w:marBottom w:val="0"/>
                          <w:divBdr>
                            <w:top w:val="none" w:sz="0" w:space="0" w:color="auto"/>
                            <w:left w:val="none" w:sz="0" w:space="0" w:color="auto"/>
                            <w:bottom w:val="none" w:sz="0" w:space="0" w:color="auto"/>
                            <w:right w:val="none" w:sz="0" w:space="0" w:color="auto"/>
                          </w:divBdr>
                          <w:divsChild>
                            <w:div w:id="534200659">
                              <w:marLeft w:val="0"/>
                              <w:marRight w:val="0"/>
                              <w:marTop w:val="0"/>
                              <w:marBottom w:val="240"/>
                              <w:divBdr>
                                <w:top w:val="none" w:sz="0" w:space="0" w:color="auto"/>
                                <w:left w:val="none" w:sz="0" w:space="0" w:color="auto"/>
                                <w:bottom w:val="none" w:sz="0" w:space="0" w:color="auto"/>
                                <w:right w:val="none" w:sz="0" w:space="0" w:color="auto"/>
                              </w:divBdr>
                            </w:div>
                            <w:div w:id="125659728">
                              <w:marLeft w:val="0"/>
                              <w:marRight w:val="0"/>
                              <w:marTop w:val="240"/>
                              <w:marBottom w:val="240"/>
                              <w:divBdr>
                                <w:top w:val="none" w:sz="0" w:space="0" w:color="auto"/>
                                <w:left w:val="none" w:sz="0" w:space="0" w:color="auto"/>
                                <w:bottom w:val="none" w:sz="0" w:space="0" w:color="auto"/>
                                <w:right w:val="none" w:sz="0" w:space="0" w:color="auto"/>
                              </w:divBdr>
                            </w:div>
                            <w:div w:id="646474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58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4022">
          <w:marLeft w:val="0"/>
          <w:marRight w:val="0"/>
          <w:marTop w:val="0"/>
          <w:marBottom w:val="0"/>
          <w:divBdr>
            <w:top w:val="none" w:sz="0" w:space="0" w:color="auto"/>
            <w:left w:val="none" w:sz="0" w:space="0" w:color="auto"/>
            <w:bottom w:val="none" w:sz="0" w:space="0" w:color="auto"/>
            <w:right w:val="none" w:sz="0" w:space="0" w:color="auto"/>
          </w:divBdr>
          <w:divsChild>
            <w:div w:id="2146389466">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doktor.de/anatomie/bauchspeicheldruese/" TargetMode="External"/><Relationship Id="rId13" Type="http://schemas.openxmlformats.org/officeDocument/2006/relationships/hyperlink" Target="https://www.netdoktor.de/anatomie/enzym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tdoktor.de/anatomie/langerhans-inseln/" TargetMode="External"/><Relationship Id="rId12" Type="http://schemas.openxmlformats.org/officeDocument/2006/relationships/hyperlink" Target="https://www.netdoktor.de/anatomie/hormonsystem/" TargetMode="External"/><Relationship Id="rId17" Type="http://schemas.openxmlformats.org/officeDocument/2006/relationships/hyperlink" Target="https://pubertaet.lehrer-online.de/online-uebungen/online-quiz-und-interaktive-uebungen/hormone-signal-und-botenstoffe-des-koerpers/" TargetMode="External"/><Relationship Id="rId2" Type="http://schemas.openxmlformats.org/officeDocument/2006/relationships/settings" Target="settings.xml"/><Relationship Id="rId16" Type="http://schemas.openxmlformats.org/officeDocument/2006/relationships/hyperlink" Target="https://www.netdoktor.de/Diagnostik+Behandlungen/Laborwerte/Testosteron-1522.html" TargetMode="External"/><Relationship Id="rId1" Type="http://schemas.openxmlformats.org/officeDocument/2006/relationships/styles" Target="styles.xml"/><Relationship Id="rId6" Type="http://schemas.openxmlformats.org/officeDocument/2006/relationships/hyperlink" Target="https://www.netdoktor.de/anatomie/schilddruese/" TargetMode="External"/><Relationship Id="rId11" Type="http://schemas.openxmlformats.org/officeDocument/2006/relationships/hyperlink" Target="https://www.netdoktor.de/anatomie/hormondruesen/" TargetMode="External"/><Relationship Id="rId5" Type="http://schemas.openxmlformats.org/officeDocument/2006/relationships/hyperlink" Target="https://www.netdoktor.de/anatomie/gehirn/hypophyse/" TargetMode="External"/><Relationship Id="rId15" Type="http://schemas.openxmlformats.org/officeDocument/2006/relationships/hyperlink" Target="https://www.netdoktor.de/laborwerte/adrenalin/" TargetMode="External"/><Relationship Id="rId10" Type="http://schemas.openxmlformats.org/officeDocument/2006/relationships/hyperlink" Target="https://www.netdoktor.de/anatomie/hormondruesen/" TargetMode="External"/><Relationship Id="rId19" Type="http://schemas.openxmlformats.org/officeDocument/2006/relationships/theme" Target="theme/theme1.xml"/><Relationship Id="rId4" Type="http://schemas.openxmlformats.org/officeDocument/2006/relationships/hyperlink" Target="https://www.netdoktor.de/anatomie/blut/" TargetMode="External"/><Relationship Id="rId9" Type="http://schemas.openxmlformats.org/officeDocument/2006/relationships/hyperlink" Target="https://www.netdoktor.de/anatomie/hoden/" TargetMode="External"/><Relationship Id="rId14" Type="http://schemas.openxmlformats.org/officeDocument/2006/relationships/hyperlink" Target="https://www.netdoktor.de/krankheiten/diabetes-mellitus/insu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Janowitz, Klaus</dc:creator>
  <cp:keywords/>
  <dc:description/>
  <cp:lastModifiedBy>Janowitz, Klaus</cp:lastModifiedBy>
  <cp:revision>2</cp:revision>
  <cp:lastPrinted>2021-02-12T09:57:00Z</cp:lastPrinted>
  <dcterms:created xsi:type="dcterms:W3CDTF">2021-02-15T08:00:00Z</dcterms:created>
  <dcterms:modified xsi:type="dcterms:W3CDTF">2021-02-15T08:00:00Z</dcterms:modified>
</cp:coreProperties>
</file>